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E" w:rsidRDefault="00005C8E" w:rsidP="00005C8E">
      <w:pPr>
        <w:rPr>
          <w:b/>
          <w:sz w:val="28"/>
        </w:rPr>
      </w:pPr>
      <w:r>
        <w:rPr>
          <w:b/>
          <w:sz w:val="28"/>
          <w:u w:val="single"/>
        </w:rPr>
        <w:t>PUBLICATIONS IN PEER-REVIEWED JOURNALS</w:t>
      </w:r>
      <w:r>
        <w:rPr>
          <w:b/>
          <w:sz w:val="28"/>
        </w:rPr>
        <w:t>:</w:t>
      </w:r>
    </w:p>
    <w:p w:rsidR="00B267DD" w:rsidRDefault="00B267DD" w:rsidP="00005C8E">
      <w:pPr>
        <w:rPr>
          <w:b/>
          <w:sz w:val="28"/>
        </w:rPr>
      </w:pPr>
    </w:p>
    <w:p w:rsidR="00B267DD" w:rsidRDefault="00B267DD" w:rsidP="00B267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Losonczy-Marshall, M. E., Marshall, P. D., “Factors in Student’s Seat Selection: An Exploratory Study,” </w:t>
      </w:r>
      <w:r w:rsidRPr="00442886">
        <w:rPr>
          <w:i/>
          <w:sz w:val="24"/>
          <w:szCs w:val="24"/>
        </w:rPr>
        <w:t>Psychological Reports</w:t>
      </w:r>
      <w:r>
        <w:rPr>
          <w:sz w:val="24"/>
          <w:szCs w:val="24"/>
        </w:rPr>
        <w:t>, 2013, Volume 112 (2).</w:t>
      </w:r>
    </w:p>
    <w:p w:rsidR="00C51487" w:rsidRDefault="00C51487" w:rsidP="00005C8E">
      <w:pPr>
        <w:rPr>
          <w:b/>
          <w:sz w:val="28"/>
        </w:rPr>
      </w:pPr>
      <w:bookmarkStart w:id="0" w:name="_GoBack"/>
      <w:bookmarkEnd w:id="0"/>
    </w:p>
    <w:p w:rsidR="00C51487" w:rsidRDefault="00C51487" w:rsidP="00C5148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Marshall, P.D., Smith, K.J., Dombrowski, R.F., Garner, R.M., “Accounting Faculty Perceptions of the Influence of Educational and Work Experiences on Their Performance as Educators,</w:t>
      </w:r>
      <w:proofErr w:type="gramStart"/>
      <w:r>
        <w:rPr>
          <w:sz w:val="24"/>
          <w:szCs w:val="24"/>
        </w:rPr>
        <w:t xml:space="preserve">”  </w:t>
      </w:r>
      <w:r w:rsidRPr="00A3209D">
        <w:rPr>
          <w:i/>
          <w:sz w:val="24"/>
          <w:szCs w:val="24"/>
        </w:rPr>
        <w:t>The</w:t>
      </w:r>
      <w:proofErr w:type="gramEnd"/>
      <w:r w:rsidRPr="00A3209D">
        <w:rPr>
          <w:i/>
          <w:sz w:val="24"/>
          <w:szCs w:val="24"/>
        </w:rPr>
        <w:t xml:space="preserve"> Accounting Educators’ Journal</w:t>
      </w:r>
      <w:r>
        <w:rPr>
          <w:sz w:val="24"/>
          <w:szCs w:val="24"/>
        </w:rPr>
        <w:t>, to appear in Vol. 22, 2012.</w:t>
      </w:r>
    </w:p>
    <w:p w:rsidR="00C51487" w:rsidRDefault="00C51487" w:rsidP="00005C8E">
      <w:pPr>
        <w:rPr>
          <w:b/>
          <w:sz w:val="28"/>
        </w:rPr>
      </w:pPr>
    </w:p>
    <w:p w:rsidR="00005C8E" w:rsidRPr="00E81E50" w:rsidRDefault="00005C8E" w:rsidP="00005C8E">
      <w:pPr>
        <w:ind w:left="720" w:hanging="720"/>
        <w:rPr>
          <w:sz w:val="24"/>
          <w:szCs w:val="24"/>
        </w:rPr>
      </w:pPr>
      <w:r w:rsidRPr="00E81E50">
        <w:rPr>
          <w:sz w:val="24"/>
          <w:szCs w:val="24"/>
        </w:rPr>
        <w:t xml:space="preserve">Marshall, P. D., and Losonczy-Marshall, M. E., “Classroom Ecology: Relations </w:t>
      </w:r>
      <w:proofErr w:type="gramStart"/>
      <w:r w:rsidRPr="00E81E50">
        <w:rPr>
          <w:sz w:val="24"/>
          <w:szCs w:val="24"/>
        </w:rPr>
        <w:t>Between</w:t>
      </w:r>
      <w:proofErr w:type="gramEnd"/>
      <w:r w:rsidRPr="00E81E50">
        <w:rPr>
          <w:sz w:val="24"/>
          <w:szCs w:val="24"/>
        </w:rPr>
        <w:t xml:space="preserve"> Seating Location, Performance, and Attendance,” </w:t>
      </w:r>
      <w:r w:rsidRPr="00E81E50">
        <w:rPr>
          <w:i/>
          <w:sz w:val="24"/>
          <w:szCs w:val="24"/>
        </w:rPr>
        <w:t>Psychological Reports</w:t>
      </w:r>
      <w:r w:rsidRPr="00E81E50">
        <w:rPr>
          <w:sz w:val="24"/>
          <w:szCs w:val="24"/>
        </w:rPr>
        <w:t>, September 2010, Volume 107(2), pp. 567-577.</w:t>
      </w:r>
    </w:p>
    <w:p w:rsidR="00005C8E" w:rsidRDefault="00005C8E" w:rsidP="00005C8E">
      <w:pPr>
        <w:rPr>
          <w:b/>
          <w:sz w:val="28"/>
        </w:rPr>
      </w:pPr>
    </w:p>
    <w:p w:rsidR="00005C8E" w:rsidRPr="00F541A8" w:rsidRDefault="00005C8E" w:rsidP="00005C8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Marshall, P.D., Dombrowski, R.F., Garner, R.M., Smith, K. J., “The Accounting Education Gap,” </w:t>
      </w:r>
      <w:r w:rsidRPr="00F541A8">
        <w:rPr>
          <w:i/>
          <w:sz w:val="24"/>
          <w:szCs w:val="24"/>
        </w:rPr>
        <w:t>The CPA Journal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June 2010, pp. 6-10.  </w:t>
      </w:r>
    </w:p>
    <w:p w:rsidR="00005C8E" w:rsidRDefault="00005C8E" w:rsidP="00005C8E">
      <w:pPr>
        <w:rPr>
          <w:b/>
          <w:sz w:val="28"/>
        </w:rPr>
      </w:pPr>
    </w:p>
    <w:p w:rsidR="00005C8E" w:rsidRPr="00C628CD" w:rsidRDefault="00005C8E" w:rsidP="00005C8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Marshall, P.D., DeRidder, J.J., "Inventory Manufacturing Losses,” </w:t>
      </w:r>
      <w:r w:rsidRPr="00B62AEC">
        <w:rPr>
          <w:i/>
          <w:sz w:val="24"/>
          <w:szCs w:val="24"/>
        </w:rPr>
        <w:t>Academy of Taiwan Business Management Review,</w:t>
      </w:r>
      <w:r>
        <w:rPr>
          <w:sz w:val="24"/>
          <w:szCs w:val="24"/>
        </w:rPr>
        <w:t xml:space="preserve"> April 2008, pp. 66-69. </w:t>
      </w:r>
    </w:p>
    <w:p w:rsidR="00005C8E" w:rsidRDefault="00005C8E" w:rsidP="00005C8E">
      <w:pPr>
        <w:rPr>
          <w:b/>
          <w:sz w:val="28"/>
        </w:rPr>
      </w:pPr>
    </w:p>
    <w:p w:rsidR="00005C8E" w:rsidRPr="005D329D" w:rsidRDefault="00005C8E" w:rsidP="00005C8E">
      <w:pPr>
        <w:ind w:left="720" w:hanging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Marshall</w:t>
          </w:r>
        </w:smartTag>
      </w:smartTag>
      <w:r>
        <w:rPr>
          <w:sz w:val="24"/>
          <w:szCs w:val="24"/>
        </w:rPr>
        <w:t xml:space="preserve">, P.D., Dombrowski, R.F., and Garner, R.M., “An Examination of Alternative Sources of Doctoral Accounting Faculty,” </w:t>
      </w:r>
      <w:r w:rsidRPr="005D329D">
        <w:rPr>
          <w:i/>
          <w:sz w:val="24"/>
          <w:szCs w:val="24"/>
        </w:rPr>
        <w:t>Journal of Education for Business,</w:t>
      </w:r>
      <w:r>
        <w:rPr>
          <w:sz w:val="24"/>
          <w:szCs w:val="24"/>
        </w:rPr>
        <w:t xml:space="preserve"> September/October 2006, pp. 44-48.</w:t>
      </w:r>
    </w:p>
    <w:p w:rsidR="00005C8E" w:rsidRDefault="00005C8E" w:rsidP="00005C8E">
      <w:pPr>
        <w:rPr>
          <w:b/>
          <w:sz w:val="28"/>
        </w:rPr>
      </w:pPr>
    </w:p>
    <w:p w:rsidR="00005C8E" w:rsidRDefault="00005C8E" w:rsidP="00005C8E">
      <w:pPr>
        <w:ind w:left="720" w:hanging="72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Marshall</w:t>
          </w:r>
        </w:smartTag>
      </w:smartTag>
      <w:proofErr w:type="gramStart"/>
      <w:r>
        <w:rPr>
          <w:sz w:val="24"/>
        </w:rPr>
        <w:t>,  P.D</w:t>
      </w:r>
      <w:proofErr w:type="gramEnd"/>
      <w:r>
        <w:rPr>
          <w:sz w:val="24"/>
        </w:rPr>
        <w:t xml:space="preserve">., </w:t>
      </w:r>
      <w:proofErr w:type="spellStart"/>
      <w:r>
        <w:rPr>
          <w:sz w:val="24"/>
        </w:rPr>
        <w:t>Dombwowski</w:t>
      </w:r>
      <w:proofErr w:type="spellEnd"/>
      <w:r>
        <w:rPr>
          <w:sz w:val="24"/>
        </w:rPr>
        <w:t xml:space="preserve">, R.F., "A Small Business Review of Accounting for Primary Products, Byproducts, and Scrap," </w:t>
      </w:r>
      <w:r>
        <w:rPr>
          <w:i/>
          <w:sz w:val="24"/>
        </w:rPr>
        <w:t xml:space="preserve">The National Public Accountant, </w:t>
      </w:r>
      <w:r>
        <w:rPr>
          <w:sz w:val="24"/>
        </w:rPr>
        <w:t xml:space="preserve">February/March, 2003, pp.10-13. </w:t>
      </w:r>
    </w:p>
    <w:p w:rsidR="00005C8E" w:rsidRDefault="00005C8E" w:rsidP="00005C8E">
      <w:pPr>
        <w:rPr>
          <w:b/>
          <w:sz w:val="24"/>
        </w:rPr>
      </w:pPr>
    </w:p>
    <w:p w:rsidR="00005C8E" w:rsidRDefault="00005C8E" w:rsidP="00005C8E">
      <w:pPr>
        <w:ind w:left="720" w:hanging="720"/>
        <w:rPr>
          <w:sz w:val="24"/>
        </w:rPr>
      </w:pPr>
      <w:r>
        <w:rPr>
          <w:sz w:val="24"/>
        </w:rPr>
        <w:t xml:space="preserve">Marshall, P.D., "Solving Accounting Problems: Differences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Accounting Experts and Novices," </w:t>
      </w:r>
      <w:r>
        <w:rPr>
          <w:i/>
          <w:sz w:val="24"/>
        </w:rPr>
        <w:t>Journal of Education for Business,</w:t>
      </w:r>
      <w:r>
        <w:rPr>
          <w:sz w:val="24"/>
        </w:rPr>
        <w:t xml:space="preserve"> July/August 2002, pp.325-328.</w:t>
      </w:r>
    </w:p>
    <w:p w:rsidR="00005C8E" w:rsidRDefault="00005C8E" w:rsidP="00005C8E">
      <w:pPr>
        <w:rPr>
          <w:b/>
          <w:sz w:val="28"/>
        </w:rPr>
      </w:pPr>
    </w:p>
    <w:p w:rsidR="00005C8E" w:rsidRDefault="00005C8E" w:rsidP="00005C8E">
      <w:pPr>
        <w:ind w:left="720" w:hanging="720"/>
        <w:rPr>
          <w:b/>
          <w:sz w:val="24"/>
        </w:rPr>
      </w:pPr>
      <w:r>
        <w:rPr>
          <w:sz w:val="24"/>
        </w:rPr>
        <w:t xml:space="preserve">Hyland, J.M., </w:t>
      </w:r>
      <w:proofErr w:type="spellStart"/>
      <w:r>
        <w:rPr>
          <w:sz w:val="24"/>
        </w:rPr>
        <w:t>Worthlin</w:t>
      </w:r>
      <w:proofErr w:type="spellEnd"/>
      <w:r>
        <w:rPr>
          <w:sz w:val="24"/>
        </w:rPr>
        <w:t xml:space="preserve">, S.M.,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Marshall</w:t>
          </w:r>
        </w:smartTag>
      </w:smartTag>
      <w:r>
        <w:rPr>
          <w:sz w:val="24"/>
        </w:rPr>
        <w:t xml:space="preserve">, P.D., and Smith, K.J., “Transitioning To FASB 133 Reporting Requirements: A Look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the Grain and Oilseed Division of</w:t>
      </w:r>
      <w:r>
        <w:t xml:space="preserve"> </w:t>
      </w:r>
      <w:r>
        <w:rPr>
          <w:sz w:val="24"/>
        </w:rPr>
        <w:t>Perdue Farms,”</w:t>
      </w:r>
      <w:r>
        <w:rPr>
          <w:i/>
          <w:sz w:val="24"/>
        </w:rPr>
        <w:t xml:space="preserve"> Derivatives Risk Management Service,</w:t>
      </w:r>
      <w:r>
        <w:rPr>
          <w:sz w:val="24"/>
        </w:rPr>
        <w:t xml:space="preserve"> Fall 2001, Vol. 6, No. 4.</w:t>
      </w:r>
    </w:p>
    <w:p w:rsidR="00005C8E" w:rsidRDefault="00005C8E" w:rsidP="00005C8E">
      <w:pPr>
        <w:rPr>
          <w:b/>
          <w:sz w:val="28"/>
        </w:rPr>
      </w:pPr>
    </w:p>
    <w:p w:rsidR="00005C8E" w:rsidRDefault="00005C8E" w:rsidP="00005C8E">
      <w:pPr>
        <w:ind w:left="720" w:hanging="720"/>
        <w:rPr>
          <w:sz w:val="24"/>
        </w:rPr>
      </w:pPr>
      <w:r>
        <w:rPr>
          <w:sz w:val="24"/>
        </w:rPr>
        <w:t xml:space="preserve">Marshall, P.D., “Pricing Products and Services: An Accounting Perspective,” </w:t>
      </w:r>
      <w:r>
        <w:rPr>
          <w:i/>
          <w:sz w:val="24"/>
        </w:rPr>
        <w:t>The National Public Accountant</w:t>
      </w:r>
      <w:r>
        <w:rPr>
          <w:sz w:val="24"/>
        </w:rPr>
        <w:t>, May 2000, pp.40-44.</w:t>
      </w:r>
    </w:p>
    <w:p w:rsidR="00005C8E" w:rsidRDefault="00005C8E" w:rsidP="00005C8E">
      <w:pPr>
        <w:rPr>
          <w:b/>
          <w:sz w:val="24"/>
        </w:rPr>
      </w:pPr>
    </w:p>
    <w:p w:rsidR="00005C8E" w:rsidRDefault="00005C8E" w:rsidP="00005C8E">
      <w:pPr>
        <w:ind w:left="720" w:hanging="720"/>
        <w:rPr>
          <w:sz w:val="24"/>
        </w:rPr>
      </w:pPr>
      <w:r>
        <w:rPr>
          <w:sz w:val="24"/>
        </w:rPr>
        <w:t>Marshall, P.D., “Finding Each Department’s True Expense,”</w:t>
      </w:r>
      <w:r>
        <w:rPr>
          <w:rFonts w:ascii="WP TypographicSymbols" w:hAnsi="WP TypographicSymbols"/>
          <w:sz w:val="24"/>
        </w:rPr>
        <w:t xml:space="preserve"> </w:t>
      </w:r>
      <w:r>
        <w:rPr>
          <w:i/>
          <w:sz w:val="24"/>
        </w:rPr>
        <w:t>The Journal of Accounting, Taxation and Finance for Business</w:t>
      </w:r>
      <w:r>
        <w:rPr>
          <w:sz w:val="24"/>
        </w:rPr>
        <w:t xml:space="preserve">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1999, pp. 1-10.</w:t>
      </w:r>
    </w:p>
    <w:p w:rsidR="00005C8E" w:rsidRDefault="00005C8E" w:rsidP="00005C8E">
      <w:pPr>
        <w:rPr>
          <w:b/>
          <w:sz w:val="24"/>
        </w:rPr>
      </w:pPr>
    </w:p>
    <w:p w:rsidR="00005C8E" w:rsidRDefault="00005C8E" w:rsidP="00005C8E">
      <w:pPr>
        <w:ind w:left="720" w:hanging="720"/>
        <w:rPr>
          <w:b/>
          <w:sz w:val="24"/>
        </w:rPr>
      </w:pPr>
      <w:r>
        <w:rPr>
          <w:sz w:val="24"/>
        </w:rPr>
        <w:t xml:space="preserve">Marshall, P.D., </w:t>
      </w:r>
      <w:proofErr w:type="gramStart"/>
      <w:r>
        <w:rPr>
          <w:sz w:val="24"/>
        </w:rPr>
        <w:t>“ The</w:t>
      </w:r>
      <w:proofErr w:type="gramEnd"/>
      <w:r>
        <w:rPr>
          <w:sz w:val="24"/>
        </w:rPr>
        <w:t xml:space="preserve"> Ins and Outs of Accounting for Byproducts,” </w:t>
      </w:r>
      <w:r>
        <w:rPr>
          <w:i/>
          <w:sz w:val="24"/>
        </w:rPr>
        <w:t>The Journal of Accounting, Taxation and Finance for Business</w:t>
      </w:r>
      <w:r>
        <w:rPr>
          <w:sz w:val="24"/>
        </w:rPr>
        <w:t>, Winter 1999, pp. 47-51.</w:t>
      </w:r>
    </w:p>
    <w:p w:rsidR="00005C8E" w:rsidRDefault="00005C8E" w:rsidP="00005C8E">
      <w:pPr>
        <w:ind w:left="720" w:hanging="720"/>
        <w:rPr>
          <w:sz w:val="24"/>
        </w:rPr>
      </w:pPr>
    </w:p>
    <w:p w:rsidR="00005C8E" w:rsidRDefault="00005C8E" w:rsidP="00005C8E">
      <w:pPr>
        <w:ind w:left="720" w:hanging="720"/>
        <w:rPr>
          <w:sz w:val="24"/>
        </w:rPr>
      </w:pPr>
      <w:r>
        <w:rPr>
          <w:sz w:val="24"/>
        </w:rPr>
        <w:t xml:space="preserve">Quinn, J.D., Garner, R.M.,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Marshall</w:t>
          </w:r>
        </w:smartTag>
      </w:smartTag>
      <w:r>
        <w:rPr>
          <w:sz w:val="24"/>
        </w:rPr>
        <w:t xml:space="preserve">, P.D., and Smith, K.J., "Revitalizing VITA to Address AECC Position Statement No. 1 Objectives," </w:t>
      </w:r>
      <w:r>
        <w:rPr>
          <w:i/>
          <w:sz w:val="24"/>
        </w:rPr>
        <w:t>Journal of Accounting Education</w:t>
      </w:r>
      <w:r>
        <w:rPr>
          <w:sz w:val="24"/>
          <w:u w:val="single"/>
        </w:rPr>
        <w:t>,</w:t>
      </w:r>
      <w:r>
        <w:rPr>
          <w:sz w:val="24"/>
        </w:rPr>
        <w:t xml:space="preserve"> 1995, </w:t>
      </w:r>
      <w:r>
        <w:rPr>
          <w:sz w:val="24"/>
        </w:rPr>
        <w:lastRenderedPageBreak/>
        <w:t>Vol. 13, No. 4, pp. 479-497.</w:t>
      </w:r>
    </w:p>
    <w:p w:rsidR="00F9055A" w:rsidRDefault="00F9055A"/>
    <w:sectPr w:rsidR="00F9055A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C8E"/>
    <w:rsid w:val="00005C8E"/>
    <w:rsid w:val="00307EBA"/>
    <w:rsid w:val="004476BA"/>
    <w:rsid w:val="004F3203"/>
    <w:rsid w:val="007D3986"/>
    <w:rsid w:val="00946789"/>
    <w:rsid w:val="00B267DD"/>
    <w:rsid w:val="00C51487"/>
    <w:rsid w:val="00D54BC7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widowControl/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7EBA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07EBA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07EBA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widowControl/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pdmarshall</dc:creator>
  <cp:keywords/>
  <dc:description/>
  <cp:lastModifiedBy>pdmarshall</cp:lastModifiedBy>
  <cp:revision>4</cp:revision>
  <dcterms:created xsi:type="dcterms:W3CDTF">2010-10-21T14:20:00Z</dcterms:created>
  <dcterms:modified xsi:type="dcterms:W3CDTF">2013-05-06T17:03:00Z</dcterms:modified>
</cp:coreProperties>
</file>